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56F5F" w14:textId="77777777" w:rsidR="000533F5" w:rsidRDefault="000533F5" w:rsidP="000533F5">
      <w:pPr>
        <w:spacing w:line="276" w:lineRule="auto"/>
        <w:contextualSpacing/>
        <w:jc w:val="both"/>
        <w:rPr>
          <w:rFonts w:ascii="Palatino Linotype" w:hAnsi="Palatino Linotype"/>
          <w:b/>
        </w:rPr>
      </w:pPr>
    </w:p>
    <w:p w14:paraId="1A4E8E11" w14:textId="53F5BC78" w:rsidR="000533F5" w:rsidRPr="005239A8" w:rsidRDefault="000533F5" w:rsidP="000533F5">
      <w:pPr>
        <w:spacing w:line="276" w:lineRule="auto"/>
        <w:contextualSpacing/>
        <w:jc w:val="both"/>
        <w:rPr>
          <w:rFonts w:ascii="Palatino Linotype" w:hAnsi="Palatino Linotype"/>
          <w:b/>
        </w:rPr>
      </w:pPr>
      <w:r w:rsidRPr="005239A8">
        <w:rPr>
          <w:rFonts w:ascii="Palatino Linotype" w:hAnsi="Palatino Linotype"/>
          <w:b/>
        </w:rPr>
        <w:t>VOTO PARTICULAR QUE FORMULA LA COMISIONADA</w:t>
      </w:r>
      <w:r>
        <w:rPr>
          <w:rFonts w:ascii="Palatino Linotype" w:hAnsi="Palatino Linotype"/>
          <w:b/>
        </w:rPr>
        <w:t xml:space="preserve"> PRESIDENTA</w:t>
      </w:r>
      <w:r w:rsidRPr="005239A8">
        <w:rPr>
          <w:rFonts w:ascii="Palatino Linotype" w:hAnsi="Palatino Linotype"/>
          <w:b/>
        </w:rPr>
        <w:t xml:space="preserve"> ZULEMA MARTÍNEZ SÁNCHEZ, EN RELACIÓN CON LA RESOLUCIÓN DICTADA POR EL PLENO DEL INSTITUTO DE TRANSPARENCIA, ACCESO A LA INFORMACIÓN PÚBLICA Y PROTECCIÓN DE DATOS PERSONALES DEL ESTADO DE MÉXICO Y MUNICIPIOS, EN </w:t>
      </w:r>
      <w:r w:rsidR="00E6450B" w:rsidRPr="005239A8">
        <w:rPr>
          <w:rFonts w:ascii="Palatino Linotype" w:hAnsi="Palatino Linotype"/>
          <w:b/>
        </w:rPr>
        <w:t xml:space="preserve">LA </w:t>
      </w:r>
      <w:r w:rsidR="00E6450B">
        <w:rPr>
          <w:rFonts w:ascii="Palatino Linotype" w:hAnsi="Palatino Linotype"/>
          <w:b/>
        </w:rPr>
        <w:t>VIGÉSIMA SÉPTIMA  SESIÓN</w:t>
      </w:r>
      <w:r w:rsidR="00E6450B" w:rsidRPr="005239A8">
        <w:rPr>
          <w:rFonts w:ascii="Palatino Linotype" w:hAnsi="Palatino Linotype"/>
          <w:b/>
        </w:rPr>
        <w:t xml:space="preserve"> </w:t>
      </w:r>
      <w:r w:rsidRPr="005239A8">
        <w:rPr>
          <w:rFonts w:ascii="Palatino Linotype" w:hAnsi="Palatino Linotype"/>
          <w:b/>
        </w:rPr>
        <w:t xml:space="preserve">ORDINARIA DEL </w:t>
      </w:r>
      <w:r w:rsidR="00E6450B">
        <w:rPr>
          <w:rFonts w:ascii="Palatino Linotype" w:hAnsi="Palatino Linotype"/>
          <w:b/>
        </w:rPr>
        <w:t>PRIMERO DE AGOSTO</w:t>
      </w:r>
      <w:r w:rsidRPr="005239A8">
        <w:rPr>
          <w:rFonts w:ascii="Palatino Linotype" w:hAnsi="Palatino Linotype"/>
          <w:b/>
        </w:rPr>
        <w:t xml:space="preserve"> </w:t>
      </w:r>
      <w:r>
        <w:rPr>
          <w:rFonts w:ascii="Palatino Linotype" w:hAnsi="Palatino Linotype"/>
          <w:b/>
        </w:rPr>
        <w:t>DE DOS MIL DIECIOCHO</w:t>
      </w:r>
      <w:r w:rsidRPr="005239A8">
        <w:rPr>
          <w:rFonts w:ascii="Palatino Linotype" w:hAnsi="Palatino Linotype"/>
          <w:b/>
        </w:rPr>
        <w:t xml:space="preserve">, EN EL RECURSO DE REVISIÓN </w:t>
      </w:r>
      <w:r w:rsidR="00E6450B">
        <w:rPr>
          <w:rFonts w:ascii="Palatino Linotype" w:hAnsi="Palatino Linotype"/>
          <w:b/>
        </w:rPr>
        <w:t>02053/INFOEM/IP/RR/2018</w:t>
      </w:r>
      <w:r w:rsidRPr="005239A8">
        <w:rPr>
          <w:rFonts w:ascii="Palatino Linotype" w:hAnsi="Palatino Linotype"/>
          <w:b/>
        </w:rPr>
        <w:t>.</w:t>
      </w:r>
    </w:p>
    <w:p w14:paraId="52ACF412" w14:textId="77777777" w:rsidR="000533F5" w:rsidRPr="005239A8" w:rsidRDefault="000533F5" w:rsidP="000533F5">
      <w:pPr>
        <w:spacing w:line="276" w:lineRule="auto"/>
        <w:contextualSpacing/>
        <w:jc w:val="both"/>
        <w:rPr>
          <w:rFonts w:ascii="Palatino Linotype" w:hAnsi="Palatino Linotype"/>
          <w:b/>
        </w:rPr>
      </w:pPr>
    </w:p>
    <w:p w14:paraId="501C44D5" w14:textId="4E6CC0CB" w:rsidR="000533F5" w:rsidRPr="005239A8" w:rsidRDefault="000533F5" w:rsidP="000533F5">
      <w:pPr>
        <w:spacing w:line="276" w:lineRule="auto"/>
        <w:contextualSpacing/>
        <w:jc w:val="both"/>
        <w:rPr>
          <w:rFonts w:ascii="Palatino Linotype" w:hAnsi="Palatino Linotype"/>
          <w:spacing w:val="-4"/>
        </w:rPr>
      </w:pPr>
      <w:r w:rsidRPr="005239A8">
        <w:rPr>
          <w:rFonts w:ascii="Palatino Linotype" w:hAnsi="Palatino Linotype"/>
          <w:spacing w:val="-4"/>
        </w:rPr>
        <w:t xml:space="preserve">Con fundamento en lo dispuesto por el artículo 14 fracciones X y XI del Reglamento Interior del Instituto de Transparencia, Acceso a la Información Pública y Protección de Datos Personales del Estado de México y Municipios, la Comisionada </w:t>
      </w:r>
      <w:r w:rsidR="00D05550">
        <w:rPr>
          <w:rFonts w:ascii="Palatino Linotype" w:hAnsi="Palatino Linotype"/>
          <w:spacing w:val="-4"/>
        </w:rPr>
        <w:t xml:space="preserve">Presidenta </w:t>
      </w:r>
      <w:r w:rsidRPr="005239A8">
        <w:rPr>
          <w:rFonts w:ascii="Palatino Linotype" w:hAnsi="Palatino Linotype"/>
          <w:b/>
          <w:spacing w:val="-4"/>
        </w:rPr>
        <w:t>Zulema Martínez Sánchez</w:t>
      </w:r>
      <w:r w:rsidRPr="005239A8">
        <w:rPr>
          <w:rFonts w:ascii="Palatino Linotype" w:hAnsi="Palatino Linotype"/>
          <w:spacing w:val="-4"/>
        </w:rPr>
        <w:t xml:space="preserve"> emite </w:t>
      </w:r>
      <w:r w:rsidRPr="005239A8">
        <w:rPr>
          <w:rFonts w:ascii="Palatino Linotype" w:hAnsi="Palatino Linotype"/>
          <w:b/>
          <w:spacing w:val="-4"/>
        </w:rPr>
        <w:t xml:space="preserve">VOTO PARTICULAR </w:t>
      </w:r>
      <w:r w:rsidRPr="005239A8">
        <w:rPr>
          <w:rFonts w:ascii="Palatino Linotype" w:hAnsi="Palatino Linotype"/>
          <w:spacing w:val="-4"/>
        </w:rPr>
        <w:t xml:space="preserve">respecto a la resolución dictada en el recurso de revisión </w:t>
      </w:r>
      <w:r w:rsidRPr="00922D53">
        <w:rPr>
          <w:rFonts w:ascii="Palatino Linotype" w:hAnsi="Palatino Linotype"/>
          <w:spacing w:val="-4"/>
        </w:rPr>
        <w:t>número</w:t>
      </w:r>
      <w:r w:rsidRPr="00922D53">
        <w:rPr>
          <w:rFonts w:ascii="Palatino Linotype" w:hAnsi="Palatino Linotype"/>
          <w:b/>
          <w:spacing w:val="-4"/>
        </w:rPr>
        <w:t xml:space="preserve"> </w:t>
      </w:r>
      <w:r w:rsidR="00E6450B">
        <w:rPr>
          <w:rFonts w:ascii="Palatino Linotype" w:hAnsi="Palatino Linotype"/>
          <w:b/>
          <w:spacing w:val="-4"/>
        </w:rPr>
        <w:t>02053/INFOEM/IP/RR/2018</w:t>
      </w:r>
      <w:r w:rsidRPr="005239A8">
        <w:rPr>
          <w:rFonts w:ascii="Palatino Linotype" w:hAnsi="Palatino Linotype"/>
          <w:spacing w:val="-4"/>
        </w:rPr>
        <w:t xml:space="preserve">, pronunciada por el Pleno de este Instituto ante el proyecto presentado por </w:t>
      </w:r>
      <w:r>
        <w:rPr>
          <w:rFonts w:ascii="Palatino Linotype" w:hAnsi="Palatino Linotype"/>
          <w:spacing w:val="-4"/>
        </w:rPr>
        <w:t xml:space="preserve">el Comisionado </w:t>
      </w:r>
      <w:r w:rsidRPr="00F40A43">
        <w:rPr>
          <w:rFonts w:ascii="Palatino Linotype" w:hAnsi="Palatino Linotype"/>
          <w:b/>
          <w:spacing w:val="-4"/>
        </w:rPr>
        <w:t>José Guadalupe Luna Hernández</w:t>
      </w:r>
      <w:r w:rsidRPr="005239A8">
        <w:rPr>
          <w:rFonts w:ascii="Palatino Linotype" w:hAnsi="Palatino Linotype"/>
          <w:spacing w:val="-4"/>
        </w:rPr>
        <w:t xml:space="preserve">, que es del tenor siguiente: </w:t>
      </w:r>
    </w:p>
    <w:p w14:paraId="6789879A" w14:textId="77777777" w:rsidR="000533F5" w:rsidRPr="005239A8" w:rsidRDefault="000533F5" w:rsidP="000533F5">
      <w:pPr>
        <w:spacing w:line="276" w:lineRule="auto"/>
        <w:contextualSpacing/>
        <w:jc w:val="both"/>
        <w:rPr>
          <w:rFonts w:ascii="Palatino Linotype" w:hAnsi="Palatino Linotype"/>
        </w:rPr>
      </w:pPr>
    </w:p>
    <w:p w14:paraId="22241230" w14:textId="4E9B85FB" w:rsidR="000533F5" w:rsidRDefault="000533F5" w:rsidP="000533F5">
      <w:pPr>
        <w:spacing w:line="276" w:lineRule="auto"/>
        <w:contextualSpacing/>
        <w:jc w:val="both"/>
        <w:rPr>
          <w:rFonts w:ascii="Palatino Linotype" w:hAnsi="Palatino Linotype"/>
        </w:rPr>
      </w:pPr>
      <w:r w:rsidRPr="00D05550">
        <w:rPr>
          <w:rFonts w:ascii="Palatino Linotype" w:hAnsi="Palatino Linotype"/>
        </w:rPr>
        <w:t xml:space="preserve">Si bien, en la resolución del recurso de revisión número </w:t>
      </w:r>
      <w:r w:rsidR="00050260" w:rsidRPr="00D05550">
        <w:rPr>
          <w:rFonts w:ascii="Palatino Linotype" w:hAnsi="Palatino Linotype"/>
          <w:b/>
        </w:rPr>
        <w:t>02053/INFOEM/IP/RR/2018</w:t>
      </w:r>
      <w:r w:rsidRPr="00D05550">
        <w:rPr>
          <w:rFonts w:ascii="Palatino Linotype" w:hAnsi="Palatino Linotype"/>
        </w:rPr>
        <w:t xml:space="preserve"> se </w:t>
      </w:r>
      <w:r w:rsidR="0038507F" w:rsidRPr="00D05550">
        <w:rPr>
          <w:rFonts w:ascii="Palatino Linotype" w:hAnsi="Palatino Linotype"/>
        </w:rPr>
        <w:t>tuvo por no colmado</w:t>
      </w:r>
      <w:r w:rsidRPr="00D05550">
        <w:rPr>
          <w:rFonts w:ascii="Palatino Linotype" w:hAnsi="Palatino Linotype"/>
        </w:rPr>
        <w:t xml:space="preserve"> el derecho de acceso a la información pública del solicitante, </w:t>
      </w:r>
      <w:r w:rsidR="0038507F" w:rsidRPr="00D05550">
        <w:rPr>
          <w:rFonts w:ascii="Palatino Linotype" w:hAnsi="Palatino Linotype"/>
        </w:rPr>
        <w:t>revocando</w:t>
      </w:r>
      <w:r w:rsidRPr="00D05550">
        <w:rPr>
          <w:rFonts w:ascii="Palatino Linotype" w:hAnsi="Palatino Linotype"/>
        </w:rPr>
        <w:t xml:space="preserve"> </w:t>
      </w:r>
      <w:r w:rsidR="0038507F" w:rsidRPr="00D05550">
        <w:rPr>
          <w:rFonts w:ascii="Palatino Linotype" w:hAnsi="Palatino Linotype"/>
        </w:rPr>
        <w:t xml:space="preserve">la respuesta del </w:t>
      </w:r>
      <w:r w:rsidR="0038507F" w:rsidRPr="00D05550">
        <w:rPr>
          <w:rFonts w:ascii="Palatino Linotype" w:hAnsi="Palatino Linotype"/>
          <w:b/>
        </w:rPr>
        <w:t>Sujeto Obligado</w:t>
      </w:r>
      <w:r w:rsidRPr="00D05550">
        <w:rPr>
          <w:rFonts w:ascii="Palatino Linotype" w:hAnsi="Palatino Linotype"/>
        </w:rPr>
        <w:t xml:space="preserve">, situación por la que la suscrita votó a favor del proyecto de resolución presentado, se disiente respecto del señalamiento contemplado en el resolutivo </w:t>
      </w:r>
      <w:r w:rsidR="00D05550" w:rsidRPr="00D05550">
        <w:rPr>
          <w:rFonts w:ascii="Palatino Linotype" w:hAnsi="Palatino Linotype"/>
          <w:b/>
        </w:rPr>
        <w:t>QUINTO</w:t>
      </w:r>
      <w:r w:rsidRPr="00D05550">
        <w:rPr>
          <w:rFonts w:ascii="Palatino Linotype" w:hAnsi="Palatino Linotype"/>
        </w:rPr>
        <w:t xml:space="preserve">, relativo a que el </w:t>
      </w:r>
      <w:r w:rsidRPr="00D05550">
        <w:rPr>
          <w:rFonts w:ascii="Palatino Linotype" w:hAnsi="Palatino Linotype"/>
          <w:b/>
        </w:rPr>
        <w:t>Sujeto Obligado</w:t>
      </w:r>
      <w:r w:rsidRPr="00D05550">
        <w:rPr>
          <w:rFonts w:ascii="Palatino Linotype" w:hAnsi="Palatino Linotype"/>
        </w:rPr>
        <w:t xml:space="preserve"> puede impugnar la resolución vía juicio de amparo, lo cual contraviene lo fundado en el párrafo séptimo del inciso A del Artículo 6 de la Constitución Política de los Estados Unidos Mexicanos, que cita:</w:t>
      </w:r>
    </w:p>
    <w:p w14:paraId="5CDA7CD9" w14:textId="77777777" w:rsidR="000533F5" w:rsidRDefault="000533F5" w:rsidP="000533F5">
      <w:pPr>
        <w:spacing w:line="276" w:lineRule="auto"/>
        <w:contextualSpacing/>
        <w:jc w:val="both"/>
      </w:pPr>
    </w:p>
    <w:p w14:paraId="44F480A0" w14:textId="77777777" w:rsidR="000533F5" w:rsidRPr="006B1F28" w:rsidRDefault="000533F5" w:rsidP="000533F5">
      <w:pPr>
        <w:spacing w:line="276" w:lineRule="auto"/>
        <w:ind w:left="851" w:right="706"/>
        <w:contextualSpacing/>
        <w:jc w:val="both"/>
        <w:rPr>
          <w:rFonts w:ascii="Palatino Linotype" w:hAnsi="Palatino Linotype"/>
          <w:b/>
          <w:i/>
        </w:rPr>
      </w:pPr>
      <w:r>
        <w:rPr>
          <w:rFonts w:ascii="Palatino Linotype" w:hAnsi="Palatino Linotype"/>
          <w:i/>
        </w:rPr>
        <w:t>“</w:t>
      </w:r>
      <w:r w:rsidRPr="006B1F28">
        <w:rPr>
          <w:rFonts w:ascii="Palatino Linotype" w:hAnsi="Palatino Linotype"/>
          <w:b/>
          <w:i/>
        </w:rPr>
        <w:t>Artículo 6o.</w:t>
      </w:r>
    </w:p>
    <w:p w14:paraId="72F75443" w14:textId="77777777" w:rsidR="000533F5" w:rsidRPr="006B1F28" w:rsidRDefault="000533F5" w:rsidP="000533F5">
      <w:pPr>
        <w:spacing w:line="276" w:lineRule="auto"/>
        <w:ind w:left="851" w:right="706"/>
        <w:contextualSpacing/>
        <w:jc w:val="both"/>
        <w:rPr>
          <w:rFonts w:ascii="Palatino Linotype" w:hAnsi="Palatino Linotype"/>
          <w:i/>
        </w:rPr>
      </w:pPr>
      <w:r w:rsidRPr="006B1F28">
        <w:rPr>
          <w:rFonts w:ascii="Palatino Linotype" w:hAnsi="Palatino Linotype"/>
          <w:i/>
        </w:rPr>
        <w:t>…</w:t>
      </w:r>
    </w:p>
    <w:p w14:paraId="15687BE3" w14:textId="77777777" w:rsidR="000533F5" w:rsidRPr="006B1F28" w:rsidRDefault="000533F5" w:rsidP="000533F5">
      <w:pPr>
        <w:spacing w:line="276" w:lineRule="auto"/>
        <w:ind w:left="851" w:right="706"/>
        <w:contextualSpacing/>
        <w:jc w:val="both"/>
        <w:rPr>
          <w:rFonts w:ascii="Palatino Linotype" w:hAnsi="Palatino Linotype"/>
          <w:b/>
          <w:i/>
        </w:rPr>
      </w:pPr>
      <w:r w:rsidRPr="006B1F28">
        <w:rPr>
          <w:rFonts w:ascii="Palatino Linotype" w:hAnsi="Palatino Linotype"/>
          <w:b/>
          <w:i/>
        </w:rPr>
        <w:t>A.</w:t>
      </w:r>
    </w:p>
    <w:p w14:paraId="64657C85" w14:textId="77777777" w:rsidR="000533F5" w:rsidRPr="006B1F28" w:rsidRDefault="000533F5" w:rsidP="000533F5">
      <w:pPr>
        <w:spacing w:line="276" w:lineRule="auto"/>
        <w:ind w:left="851" w:right="706"/>
        <w:contextualSpacing/>
        <w:jc w:val="both"/>
        <w:rPr>
          <w:rFonts w:ascii="Palatino Linotype" w:hAnsi="Palatino Linotype"/>
          <w:i/>
        </w:rPr>
      </w:pPr>
      <w:r w:rsidRPr="006B1F28">
        <w:rPr>
          <w:rFonts w:ascii="Palatino Linotype" w:hAnsi="Palatino Linotype"/>
          <w:i/>
        </w:rPr>
        <w:t>…</w:t>
      </w:r>
    </w:p>
    <w:p w14:paraId="2466D7FB" w14:textId="77777777" w:rsidR="000533F5" w:rsidRDefault="000533F5" w:rsidP="000533F5">
      <w:pPr>
        <w:spacing w:line="276" w:lineRule="auto"/>
        <w:ind w:left="851" w:right="706"/>
        <w:contextualSpacing/>
        <w:jc w:val="both"/>
        <w:rPr>
          <w:rFonts w:ascii="Palatino Linotype" w:hAnsi="Palatino Linotype"/>
          <w:i/>
        </w:rPr>
      </w:pPr>
      <w:r w:rsidRPr="00FB7992">
        <w:rPr>
          <w:rFonts w:ascii="Palatino Linotype" w:hAnsi="Palatino Linotype"/>
          <w:i/>
          <w:u w:val="single"/>
        </w:rPr>
        <w:lastRenderedPageBreak/>
        <w:t xml:space="preserve">Las resoluciones del organismo garante son vinculatorias, definitivas e inatacables para los </w:t>
      </w:r>
      <w:r w:rsidRPr="00FB7992">
        <w:rPr>
          <w:rFonts w:ascii="Palatino Linotype" w:hAnsi="Palatino Linotype"/>
          <w:b/>
          <w:i/>
          <w:u w:val="single"/>
        </w:rPr>
        <w:t>sujetos obligados</w:t>
      </w:r>
      <w:r w:rsidRPr="006B1F28">
        <w:rPr>
          <w:rFonts w:ascii="Palatino Linotype" w:hAnsi="Palatino Linotype"/>
          <w:i/>
        </w:rPr>
        <w:t>. El Consejero Jurídico del Gobierno podrá interponer recurso de revisión ante la Suprema Corte de Justicia de la Nación en los términos que establezca la ley, sólo en el caso que dichas resoluciones puedan poner en peligro la seguridad nacional conforme a la ley de la materia.</w:t>
      </w:r>
      <w:r>
        <w:rPr>
          <w:rFonts w:ascii="Palatino Linotype" w:hAnsi="Palatino Linotype"/>
          <w:i/>
        </w:rPr>
        <w:t>” [Sic]</w:t>
      </w:r>
    </w:p>
    <w:p w14:paraId="18786D9C" w14:textId="77777777" w:rsidR="000533F5" w:rsidRDefault="000533F5" w:rsidP="000533F5">
      <w:pPr>
        <w:spacing w:line="276" w:lineRule="auto"/>
        <w:ind w:left="851" w:right="706"/>
        <w:contextualSpacing/>
        <w:jc w:val="both"/>
        <w:rPr>
          <w:rFonts w:ascii="Palatino Linotype" w:hAnsi="Palatino Linotype"/>
          <w:i/>
        </w:rPr>
      </w:pPr>
    </w:p>
    <w:p w14:paraId="5F11C0B4" w14:textId="77777777" w:rsidR="000533F5" w:rsidRDefault="000533F5" w:rsidP="000533F5">
      <w:pPr>
        <w:spacing w:line="276" w:lineRule="auto"/>
        <w:contextualSpacing/>
        <w:jc w:val="both"/>
        <w:rPr>
          <w:rFonts w:ascii="Palatino Linotype" w:hAnsi="Palatino Linotype"/>
        </w:rPr>
      </w:pPr>
      <w:r>
        <w:rPr>
          <w:rFonts w:ascii="Palatino Linotype" w:hAnsi="Palatino Linotype"/>
        </w:rPr>
        <w:t xml:space="preserve">Así, con la reforma constitucional de febrero de dos mil catorce, se consideró a los </w:t>
      </w:r>
      <w:r w:rsidRPr="008A30CF">
        <w:rPr>
          <w:rFonts w:ascii="Palatino Linotype" w:hAnsi="Palatino Linotype"/>
          <w:b/>
        </w:rPr>
        <w:t>Sindicatos</w:t>
      </w:r>
      <w:r>
        <w:rPr>
          <w:rFonts w:ascii="Palatino Linotype" w:hAnsi="Palatino Linotype"/>
        </w:rPr>
        <w:t xml:space="preserve"> como Sujetos Obligados, como de forma expresa lo señala la fracción I del inciso A del mismo artículo 6 de la </w:t>
      </w:r>
      <w:r w:rsidRPr="006B1F28">
        <w:rPr>
          <w:rFonts w:ascii="Palatino Linotype" w:hAnsi="Palatino Linotype"/>
        </w:rPr>
        <w:t>Constitución Política de los Estados Unidos Mexicanos</w:t>
      </w:r>
      <w:r>
        <w:rPr>
          <w:rFonts w:ascii="Palatino Linotype" w:hAnsi="Palatino Linotype"/>
        </w:rPr>
        <w:t>, dictando.</w:t>
      </w:r>
    </w:p>
    <w:p w14:paraId="471A9AB9" w14:textId="77777777" w:rsidR="000533F5" w:rsidRDefault="000533F5" w:rsidP="000533F5">
      <w:pPr>
        <w:spacing w:line="276" w:lineRule="auto"/>
        <w:contextualSpacing/>
        <w:jc w:val="both"/>
        <w:rPr>
          <w:rFonts w:ascii="Palatino Linotype" w:hAnsi="Palatino Linotype"/>
        </w:rPr>
      </w:pPr>
    </w:p>
    <w:p w14:paraId="62AE832C" w14:textId="77777777" w:rsidR="000533F5" w:rsidRPr="00FB7992" w:rsidRDefault="000533F5" w:rsidP="000533F5">
      <w:pPr>
        <w:spacing w:line="276" w:lineRule="auto"/>
        <w:ind w:left="851" w:right="706"/>
        <w:contextualSpacing/>
        <w:jc w:val="both"/>
        <w:rPr>
          <w:rFonts w:ascii="Palatino Linotype" w:hAnsi="Palatino Linotype"/>
          <w:i/>
        </w:rPr>
      </w:pPr>
      <w:r>
        <w:rPr>
          <w:rFonts w:ascii="Palatino Linotype" w:hAnsi="Palatino Linotype"/>
          <w:i/>
        </w:rPr>
        <w:t>“</w:t>
      </w:r>
      <w:r w:rsidRPr="00FB7992">
        <w:rPr>
          <w:rFonts w:ascii="Palatino Linotype" w:hAnsi="Palatino Linotype"/>
          <w:b/>
          <w:i/>
        </w:rPr>
        <w:t>6.</w:t>
      </w:r>
      <w:r w:rsidRPr="00FB7992">
        <w:rPr>
          <w:rFonts w:ascii="Palatino Linotype" w:hAnsi="Palatino Linotype"/>
          <w:i/>
        </w:rPr>
        <w:t xml:space="preserve"> </w:t>
      </w:r>
    </w:p>
    <w:p w14:paraId="5BEB1243" w14:textId="77777777" w:rsidR="000533F5" w:rsidRPr="00FB7992" w:rsidRDefault="000533F5" w:rsidP="000533F5">
      <w:pPr>
        <w:spacing w:line="276" w:lineRule="auto"/>
        <w:ind w:left="851" w:right="706"/>
        <w:contextualSpacing/>
        <w:jc w:val="both"/>
        <w:rPr>
          <w:rFonts w:ascii="Palatino Linotype" w:hAnsi="Palatino Linotype"/>
          <w:i/>
        </w:rPr>
      </w:pPr>
      <w:r w:rsidRPr="00FB7992">
        <w:rPr>
          <w:rFonts w:ascii="Palatino Linotype" w:hAnsi="Palatino Linotype"/>
          <w:i/>
        </w:rPr>
        <w:t>…</w:t>
      </w:r>
    </w:p>
    <w:p w14:paraId="64288807" w14:textId="77777777" w:rsidR="000533F5" w:rsidRPr="00FB7992" w:rsidRDefault="000533F5" w:rsidP="000533F5">
      <w:pPr>
        <w:spacing w:line="276" w:lineRule="auto"/>
        <w:ind w:left="851" w:right="706"/>
        <w:contextualSpacing/>
        <w:jc w:val="both"/>
        <w:rPr>
          <w:rFonts w:ascii="Palatino Linotype" w:hAnsi="Palatino Linotype"/>
          <w:b/>
          <w:i/>
        </w:rPr>
      </w:pPr>
      <w:r w:rsidRPr="00FB7992">
        <w:rPr>
          <w:rFonts w:ascii="Palatino Linotype" w:hAnsi="Palatino Linotype"/>
          <w:b/>
          <w:i/>
        </w:rPr>
        <w:t>A.</w:t>
      </w:r>
    </w:p>
    <w:p w14:paraId="01F75FC5" w14:textId="77777777" w:rsidR="000533F5" w:rsidRPr="00FB7992" w:rsidRDefault="000533F5" w:rsidP="000533F5">
      <w:pPr>
        <w:spacing w:line="276" w:lineRule="auto"/>
        <w:ind w:left="851" w:right="706"/>
        <w:contextualSpacing/>
        <w:jc w:val="both"/>
        <w:rPr>
          <w:rFonts w:ascii="Palatino Linotype" w:hAnsi="Palatino Linotype"/>
          <w:i/>
        </w:rPr>
      </w:pPr>
      <w:r w:rsidRPr="00FB7992">
        <w:rPr>
          <w:rFonts w:ascii="Palatino Linotype" w:hAnsi="Palatino Linotype"/>
          <w:b/>
          <w:i/>
        </w:rPr>
        <w:t>I.</w:t>
      </w:r>
      <w:r w:rsidRPr="00FB7992">
        <w:rPr>
          <w:rFonts w:ascii="Palatino Linotype" w:hAnsi="Palatino Linotype"/>
          <w:i/>
        </w:rPr>
        <w:t xml:space="preserve"> </w:t>
      </w:r>
      <w:r w:rsidRPr="00FB7992">
        <w:rPr>
          <w:rFonts w:ascii="Palatino Linotype" w:hAnsi="Palatino Linotype"/>
          <w:i/>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FB7992">
        <w:rPr>
          <w:rFonts w:ascii="Palatino Linotype" w:hAnsi="Palatino Linotype"/>
          <w:b/>
          <w:i/>
          <w:u w:val="single"/>
        </w:rPr>
        <w:t>sindicato</w:t>
      </w:r>
      <w:r w:rsidRPr="00FB7992">
        <w:rPr>
          <w:rFonts w:ascii="Palatino Linotype" w:hAnsi="Palatino Linotype"/>
          <w:i/>
          <w:u w:val="single"/>
        </w:rPr>
        <w:t xml:space="preserve"> que reciba y ejerza recursos públicos o realice actos de autoridad en el ámbito federal, estatal y municipal, es pública y sólo podrá ser reservada temporalmente por razones de interés público y seguridad nacional, en los términos que fijen las leyes. </w:t>
      </w:r>
      <w:r w:rsidRPr="00FB7992">
        <w:rPr>
          <w:rFonts w:ascii="Palatino Linotype" w:hAnsi="Palatino Linotype"/>
          <w:i/>
        </w:rPr>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21B946" w14:textId="77777777" w:rsidR="000533F5" w:rsidRDefault="000533F5" w:rsidP="000533F5">
      <w:pPr>
        <w:spacing w:line="276" w:lineRule="auto"/>
        <w:contextualSpacing/>
        <w:jc w:val="both"/>
        <w:rPr>
          <w:rFonts w:ascii="Palatino Linotype" w:hAnsi="Palatino Linotype"/>
        </w:rPr>
      </w:pPr>
    </w:p>
    <w:p w14:paraId="4ACD6874" w14:textId="77777777" w:rsidR="000533F5" w:rsidRPr="00855320" w:rsidRDefault="000533F5" w:rsidP="000533F5">
      <w:pPr>
        <w:spacing w:line="276" w:lineRule="auto"/>
        <w:contextualSpacing/>
        <w:jc w:val="both"/>
        <w:rPr>
          <w:rFonts w:ascii="Palatino Linotype" w:hAnsi="Palatino Linotype"/>
          <w:b/>
        </w:rPr>
      </w:pPr>
      <w:r>
        <w:rPr>
          <w:rFonts w:ascii="Palatino Linotype" w:hAnsi="Palatino Linotype"/>
        </w:rPr>
        <w:t xml:space="preserve">En armonía con lo anterior, tanto la </w:t>
      </w:r>
      <w:r w:rsidRPr="00FB7992">
        <w:rPr>
          <w:rFonts w:ascii="Palatino Linotype" w:hAnsi="Palatino Linotype"/>
        </w:rPr>
        <w:t>Ley General de Transparencia y Acceso a la Información Pública, como la Ley de Transparencia y Acceso a</w:t>
      </w:r>
      <w:r>
        <w:rPr>
          <w:rFonts w:ascii="Palatino Linotype" w:hAnsi="Palatino Linotype"/>
        </w:rPr>
        <w:t xml:space="preserve"> </w:t>
      </w:r>
      <w:r w:rsidRPr="00FB7992">
        <w:rPr>
          <w:rFonts w:ascii="Palatino Linotype" w:hAnsi="Palatino Linotype"/>
        </w:rPr>
        <w:t>la Información Pública del Estado</w:t>
      </w:r>
      <w:r>
        <w:rPr>
          <w:rFonts w:ascii="Palatino Linotype" w:hAnsi="Palatino Linotype"/>
        </w:rPr>
        <w:t xml:space="preserve"> </w:t>
      </w:r>
      <w:r w:rsidRPr="00FB7992">
        <w:rPr>
          <w:rFonts w:ascii="Palatino Linotype" w:hAnsi="Palatino Linotype"/>
        </w:rPr>
        <w:t>de México y Municipios</w:t>
      </w:r>
      <w:r>
        <w:rPr>
          <w:rFonts w:ascii="Palatino Linotype" w:hAnsi="Palatino Linotype"/>
        </w:rPr>
        <w:t xml:space="preserve">, contempla la limitante para los Sujetos Obligados de interponer </w:t>
      </w:r>
      <w:r>
        <w:rPr>
          <w:rFonts w:ascii="Palatino Linotype" w:hAnsi="Palatino Linotype"/>
        </w:rPr>
        <w:lastRenderedPageBreak/>
        <w:t>cualquier medio de defesa en contra de las resoluciones de los Organismos Garantes, conforme a lo siguiente:</w:t>
      </w:r>
    </w:p>
    <w:p w14:paraId="452D198D" w14:textId="77777777" w:rsidR="000533F5" w:rsidRDefault="000533F5" w:rsidP="000533F5">
      <w:pPr>
        <w:spacing w:line="276" w:lineRule="auto"/>
        <w:contextualSpacing/>
        <w:jc w:val="both"/>
        <w:rPr>
          <w:rFonts w:ascii="Palatino Linotype" w:hAnsi="Palatino Linotype"/>
        </w:rPr>
      </w:pPr>
    </w:p>
    <w:p w14:paraId="6E3A0498" w14:textId="77777777" w:rsidR="000533F5" w:rsidRDefault="000533F5" w:rsidP="000533F5">
      <w:pPr>
        <w:spacing w:line="276" w:lineRule="auto"/>
        <w:ind w:left="851" w:right="706"/>
        <w:contextualSpacing/>
        <w:jc w:val="both"/>
        <w:rPr>
          <w:rFonts w:ascii="Palatino Linotype" w:hAnsi="Palatino Linotype"/>
          <w:b/>
          <w:i/>
        </w:rPr>
      </w:pPr>
      <w:r>
        <w:rPr>
          <w:rFonts w:ascii="Palatino Linotype" w:hAnsi="Palatino Linotype"/>
          <w:b/>
          <w:i/>
        </w:rPr>
        <w:t>“</w:t>
      </w:r>
      <w:r w:rsidRPr="00855320">
        <w:rPr>
          <w:rFonts w:ascii="Palatino Linotype" w:hAnsi="Palatino Linotype"/>
          <w:b/>
          <w:i/>
        </w:rPr>
        <w:t>Ley General de Transparencia y Acceso a la Información Pública</w:t>
      </w:r>
    </w:p>
    <w:p w14:paraId="42CF3B45" w14:textId="77777777" w:rsidR="000533F5" w:rsidRPr="00855320"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i/>
        </w:rPr>
        <w:t>…</w:t>
      </w:r>
    </w:p>
    <w:p w14:paraId="2321B03E" w14:textId="77777777" w:rsidR="000533F5" w:rsidRPr="00855320"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b/>
          <w:i/>
        </w:rPr>
        <w:t>Artículo 97.</w:t>
      </w:r>
      <w:r w:rsidRPr="00855320">
        <w:rPr>
          <w:rFonts w:ascii="Palatino Linotype" w:hAnsi="Palatino Linotype"/>
          <w:i/>
        </w:rPr>
        <w:t xml:space="preserve"> Los Organismos garantes, en el ámbito de sus competencias, deben notificar la resolución al denunciante y al sujeto obligado, dentro de los tres días siguientes a su emisión. </w:t>
      </w:r>
    </w:p>
    <w:p w14:paraId="5E72FCC2" w14:textId="77777777" w:rsidR="000533F5"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i/>
          <w:u w:val="single"/>
        </w:rPr>
        <w:t xml:space="preserve">Las resoluciones que emitan los Organismos garantes, a que se refiere este Capítulo, son </w:t>
      </w:r>
      <w:r w:rsidRPr="00855320">
        <w:rPr>
          <w:rFonts w:ascii="Palatino Linotype" w:hAnsi="Palatino Linotype"/>
          <w:b/>
          <w:i/>
          <w:u w:val="single"/>
        </w:rPr>
        <w:t>definitivas e inatacables</w:t>
      </w:r>
      <w:r w:rsidRPr="00855320">
        <w:rPr>
          <w:rFonts w:ascii="Palatino Linotype" w:hAnsi="Palatino Linotype"/>
          <w:i/>
          <w:u w:val="single"/>
        </w:rPr>
        <w:t xml:space="preserve"> para los </w:t>
      </w:r>
      <w:r w:rsidRPr="00855320">
        <w:rPr>
          <w:rFonts w:ascii="Palatino Linotype" w:hAnsi="Palatino Linotype"/>
          <w:b/>
          <w:i/>
          <w:u w:val="single"/>
        </w:rPr>
        <w:t>sujetos obligados</w:t>
      </w:r>
      <w:r w:rsidRPr="00855320">
        <w:rPr>
          <w:rFonts w:ascii="Palatino Linotype" w:hAnsi="Palatino Linotype"/>
          <w:i/>
          <w:u w:val="single"/>
        </w:rPr>
        <w:t xml:space="preserve">. </w:t>
      </w:r>
      <w:r w:rsidRPr="00855320">
        <w:rPr>
          <w:rFonts w:ascii="Palatino Linotype" w:hAnsi="Palatino Linotype"/>
          <w:i/>
        </w:rPr>
        <w:t xml:space="preserve">El particular podrá impugnar la resolución por la vía del juicio de amparo que corresponda, en los términos de la legislación aplicable. </w:t>
      </w:r>
    </w:p>
    <w:p w14:paraId="7C578E31" w14:textId="77777777" w:rsidR="000533F5" w:rsidRPr="00855320" w:rsidRDefault="000533F5" w:rsidP="000533F5">
      <w:pPr>
        <w:spacing w:line="276" w:lineRule="auto"/>
        <w:ind w:left="851" w:right="706"/>
        <w:contextualSpacing/>
        <w:jc w:val="both"/>
        <w:rPr>
          <w:rFonts w:ascii="Palatino Linotype" w:hAnsi="Palatino Linotype"/>
          <w:i/>
        </w:rPr>
      </w:pPr>
    </w:p>
    <w:p w14:paraId="45F6E756" w14:textId="77777777" w:rsidR="000533F5"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i/>
        </w:rPr>
        <w:t>El sujeto obligado deberá cumplir con la resolución en un plazo de quince días, a partir del día siguiente al en que se le notifique la misma.</w:t>
      </w:r>
    </w:p>
    <w:p w14:paraId="2C1599B2" w14:textId="77777777" w:rsidR="000533F5" w:rsidRPr="00855320" w:rsidRDefault="000533F5" w:rsidP="000533F5">
      <w:pPr>
        <w:spacing w:line="276" w:lineRule="auto"/>
        <w:ind w:left="851" w:right="706"/>
        <w:contextualSpacing/>
        <w:jc w:val="both"/>
        <w:rPr>
          <w:rFonts w:ascii="Palatino Linotype" w:hAnsi="Palatino Linotype"/>
          <w:i/>
        </w:rPr>
      </w:pPr>
    </w:p>
    <w:p w14:paraId="53B61821" w14:textId="77777777" w:rsidR="000533F5" w:rsidRDefault="000533F5" w:rsidP="000533F5">
      <w:pPr>
        <w:spacing w:line="276" w:lineRule="auto"/>
        <w:ind w:left="851" w:right="706"/>
        <w:contextualSpacing/>
        <w:jc w:val="both"/>
        <w:rPr>
          <w:rFonts w:ascii="Palatino Linotype" w:hAnsi="Palatino Linotype"/>
          <w:b/>
          <w:i/>
        </w:rPr>
      </w:pPr>
      <w:r w:rsidRPr="00855320">
        <w:rPr>
          <w:rFonts w:ascii="Palatino Linotype" w:hAnsi="Palatino Linotype"/>
          <w:b/>
          <w:i/>
        </w:rPr>
        <w:t>Ley de Transparencia y Acceso a la Información Pública del Estado de México y Municipios</w:t>
      </w:r>
    </w:p>
    <w:p w14:paraId="0BC89B5C" w14:textId="77777777" w:rsidR="000533F5" w:rsidRPr="00855320" w:rsidRDefault="000533F5" w:rsidP="000533F5">
      <w:pPr>
        <w:spacing w:line="276" w:lineRule="auto"/>
        <w:ind w:left="851" w:right="706"/>
        <w:contextualSpacing/>
        <w:jc w:val="both"/>
        <w:rPr>
          <w:rFonts w:ascii="Palatino Linotype" w:hAnsi="Palatino Linotype"/>
          <w:b/>
          <w:i/>
        </w:rPr>
      </w:pPr>
      <w:r>
        <w:rPr>
          <w:rFonts w:ascii="Palatino Linotype" w:hAnsi="Palatino Linotype"/>
          <w:b/>
          <w:i/>
        </w:rPr>
        <w:t>…</w:t>
      </w:r>
    </w:p>
    <w:p w14:paraId="29FCC515" w14:textId="77777777" w:rsidR="000533F5"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b/>
          <w:i/>
        </w:rPr>
        <w:t>Artículo 119.</w:t>
      </w:r>
      <w:r w:rsidRPr="00855320">
        <w:rPr>
          <w:rFonts w:ascii="Palatino Linotype" w:hAnsi="Palatino Linotype"/>
          <w:i/>
        </w:rPr>
        <w:t xml:space="preserve"> El Instituto, en el ámbito de su competencia, debe notificar la resolución al denunciante y al sujeto obligado,</w:t>
      </w:r>
      <w:r>
        <w:rPr>
          <w:rFonts w:ascii="Palatino Linotype" w:hAnsi="Palatino Linotype"/>
          <w:i/>
        </w:rPr>
        <w:t xml:space="preserve"> </w:t>
      </w:r>
      <w:r w:rsidRPr="00855320">
        <w:rPr>
          <w:rFonts w:ascii="Palatino Linotype" w:hAnsi="Palatino Linotype"/>
          <w:i/>
        </w:rPr>
        <w:t>dentro de los tres días hábiles siguientes a su emisión.</w:t>
      </w:r>
    </w:p>
    <w:p w14:paraId="612173FE" w14:textId="77777777" w:rsidR="000533F5" w:rsidRPr="00855320" w:rsidRDefault="000533F5" w:rsidP="000533F5">
      <w:pPr>
        <w:spacing w:line="276" w:lineRule="auto"/>
        <w:ind w:left="851" w:right="706"/>
        <w:contextualSpacing/>
        <w:jc w:val="both"/>
        <w:rPr>
          <w:rFonts w:ascii="Palatino Linotype" w:hAnsi="Palatino Linotype"/>
          <w:i/>
        </w:rPr>
      </w:pPr>
    </w:p>
    <w:p w14:paraId="5B6BCE68" w14:textId="77777777" w:rsidR="000533F5" w:rsidRPr="00855320" w:rsidRDefault="000533F5" w:rsidP="000533F5">
      <w:pPr>
        <w:spacing w:line="276" w:lineRule="auto"/>
        <w:ind w:left="851" w:right="706"/>
        <w:contextualSpacing/>
        <w:jc w:val="both"/>
        <w:rPr>
          <w:rFonts w:ascii="Palatino Linotype" w:hAnsi="Palatino Linotype"/>
          <w:i/>
        </w:rPr>
      </w:pPr>
      <w:r w:rsidRPr="00855320">
        <w:rPr>
          <w:rFonts w:ascii="Palatino Linotype" w:hAnsi="Palatino Linotype"/>
          <w:i/>
          <w:u w:val="single"/>
        </w:rPr>
        <w:t xml:space="preserve">Las resoluciones que emita el Instituto, a que se refiere este capítulo, son </w:t>
      </w:r>
      <w:r w:rsidRPr="00855320">
        <w:rPr>
          <w:rFonts w:ascii="Palatino Linotype" w:hAnsi="Palatino Linotype"/>
          <w:b/>
          <w:i/>
          <w:u w:val="single"/>
        </w:rPr>
        <w:t>definitivas e inatacables</w:t>
      </w:r>
      <w:r w:rsidRPr="00855320">
        <w:rPr>
          <w:rFonts w:ascii="Palatino Linotype" w:hAnsi="Palatino Linotype"/>
          <w:i/>
          <w:u w:val="single"/>
        </w:rPr>
        <w:t xml:space="preserve"> para los </w:t>
      </w:r>
      <w:r w:rsidRPr="00855320">
        <w:rPr>
          <w:rFonts w:ascii="Palatino Linotype" w:hAnsi="Palatino Linotype"/>
          <w:b/>
          <w:i/>
          <w:u w:val="single"/>
        </w:rPr>
        <w:t>sujetos obligados</w:t>
      </w:r>
      <w:r w:rsidRPr="00855320">
        <w:rPr>
          <w:rFonts w:ascii="Palatino Linotype" w:hAnsi="Palatino Linotype"/>
          <w:i/>
          <w:u w:val="single"/>
        </w:rPr>
        <w:t xml:space="preserve">. </w:t>
      </w:r>
      <w:r w:rsidRPr="00855320">
        <w:rPr>
          <w:rFonts w:ascii="Palatino Linotype" w:hAnsi="Palatino Linotype"/>
          <w:i/>
        </w:rPr>
        <w:t>El particular podrá impugnar la resolución por la vía del juicio de amparo que corresponda, en los términos de la</w:t>
      </w:r>
      <w:r>
        <w:rPr>
          <w:rFonts w:ascii="Palatino Linotype" w:hAnsi="Palatino Linotype"/>
          <w:i/>
        </w:rPr>
        <w:t xml:space="preserve"> </w:t>
      </w:r>
      <w:r w:rsidRPr="00855320">
        <w:rPr>
          <w:rFonts w:ascii="Palatino Linotype" w:hAnsi="Palatino Linotype"/>
          <w:i/>
        </w:rPr>
        <w:t>legislación aplicable.</w:t>
      </w:r>
      <w:r>
        <w:rPr>
          <w:rFonts w:ascii="Palatino Linotype" w:hAnsi="Palatino Linotype"/>
          <w:i/>
        </w:rPr>
        <w:t>” [Sic]</w:t>
      </w:r>
    </w:p>
    <w:p w14:paraId="51DA64A4" w14:textId="77777777" w:rsidR="000533F5" w:rsidRDefault="000533F5" w:rsidP="000533F5">
      <w:pPr>
        <w:spacing w:line="276" w:lineRule="auto"/>
        <w:contextualSpacing/>
        <w:jc w:val="both"/>
        <w:rPr>
          <w:rFonts w:ascii="Palatino Linotype" w:hAnsi="Palatino Linotype"/>
        </w:rPr>
      </w:pPr>
    </w:p>
    <w:p w14:paraId="4253C0E5" w14:textId="77777777" w:rsidR="000533F5" w:rsidRPr="00855320" w:rsidRDefault="000533F5" w:rsidP="000533F5">
      <w:pPr>
        <w:spacing w:line="276" w:lineRule="auto"/>
        <w:contextualSpacing/>
        <w:jc w:val="both"/>
        <w:rPr>
          <w:rFonts w:ascii="Palatino Linotype" w:hAnsi="Palatino Linotype"/>
        </w:rPr>
      </w:pPr>
      <w:r w:rsidRPr="005239A8">
        <w:rPr>
          <w:rFonts w:ascii="Palatino Linotype" w:hAnsi="Palatino Linotype"/>
        </w:rPr>
        <w:lastRenderedPageBreak/>
        <w:t>Así la suscrita comparte las razones que motivaron la emisión del recurso de revisión en comento</w:t>
      </w:r>
      <w:r>
        <w:rPr>
          <w:rFonts w:ascii="Palatino Linotype" w:hAnsi="Palatino Linotype"/>
        </w:rPr>
        <w:t>;</w:t>
      </w:r>
      <w:r w:rsidRPr="005239A8">
        <w:rPr>
          <w:rFonts w:ascii="Palatino Linotype" w:hAnsi="Palatino Linotype"/>
        </w:rPr>
        <w:t xml:space="preserve"> sin embargo, </w:t>
      </w:r>
      <w:r w:rsidRPr="00901DE0">
        <w:rPr>
          <w:rFonts w:ascii="Palatino Linotype" w:hAnsi="Palatino Linotype"/>
        </w:rPr>
        <w:t xml:space="preserve">difiere respecto a que se haya estimado que el </w:t>
      </w:r>
      <w:r w:rsidRPr="00901DE0">
        <w:rPr>
          <w:rFonts w:ascii="Palatino Linotype" w:hAnsi="Palatino Linotype"/>
          <w:b/>
        </w:rPr>
        <w:t xml:space="preserve">Sujeto Obligado </w:t>
      </w:r>
      <w:r w:rsidRPr="00901DE0">
        <w:rPr>
          <w:rFonts w:ascii="Palatino Linotype" w:hAnsi="Palatino Linotype"/>
        </w:rPr>
        <w:t>pueda interponer juicio de amparo en contra de la resolución emitida por el Pleno, ya que existen causales de improcedencia, tanto a</w:t>
      </w:r>
      <w:bookmarkStart w:id="0" w:name="_GoBack"/>
      <w:bookmarkEnd w:id="0"/>
      <w:r w:rsidRPr="00901DE0">
        <w:rPr>
          <w:rFonts w:ascii="Palatino Linotype" w:hAnsi="Palatino Linotype"/>
        </w:rPr>
        <w:t xml:space="preserve"> nivel constitucional como legal, lo que restringiría al </w:t>
      </w:r>
      <w:r w:rsidRPr="00901DE0">
        <w:rPr>
          <w:rFonts w:ascii="Palatino Linotype" w:hAnsi="Palatino Linotype"/>
          <w:b/>
        </w:rPr>
        <w:t>Sujeto Obligado</w:t>
      </w:r>
      <w:r w:rsidRPr="00901DE0">
        <w:rPr>
          <w:rFonts w:ascii="Palatino Linotype" w:hAnsi="Palatino Linotype"/>
        </w:rPr>
        <w:t xml:space="preserve"> a impugnar las resoluciones emitidas en materia de transparencia, en los términos antes precisados.</w:t>
      </w:r>
    </w:p>
    <w:p w14:paraId="221BD873" w14:textId="77777777" w:rsidR="000533F5" w:rsidRPr="005239A8" w:rsidRDefault="000533F5" w:rsidP="000533F5">
      <w:pPr>
        <w:spacing w:line="276" w:lineRule="auto"/>
        <w:contextualSpacing/>
        <w:jc w:val="center"/>
        <w:rPr>
          <w:rFonts w:ascii="Palatino Linotype" w:hAnsi="Palatino Linotype"/>
          <w:b/>
        </w:rPr>
      </w:pPr>
    </w:p>
    <w:p w14:paraId="214B83A7" w14:textId="77777777" w:rsidR="000533F5" w:rsidRPr="005239A8" w:rsidRDefault="000533F5" w:rsidP="000533F5">
      <w:pPr>
        <w:spacing w:line="276" w:lineRule="auto"/>
        <w:contextualSpacing/>
        <w:jc w:val="center"/>
        <w:rPr>
          <w:rFonts w:ascii="Palatino Linotype" w:hAnsi="Palatino Linotype"/>
          <w:b/>
        </w:rPr>
      </w:pPr>
    </w:p>
    <w:p w14:paraId="69066945" w14:textId="77777777" w:rsidR="000533F5" w:rsidRPr="005239A8" w:rsidRDefault="000533F5" w:rsidP="000533F5">
      <w:pPr>
        <w:spacing w:line="276" w:lineRule="auto"/>
        <w:contextualSpacing/>
        <w:jc w:val="center"/>
        <w:rPr>
          <w:rFonts w:ascii="Palatino Linotype" w:hAnsi="Palatino Linotype"/>
          <w:b/>
        </w:rPr>
      </w:pPr>
    </w:p>
    <w:p w14:paraId="36016079" w14:textId="77777777" w:rsidR="000533F5" w:rsidRDefault="000533F5" w:rsidP="000533F5">
      <w:pPr>
        <w:spacing w:line="276" w:lineRule="auto"/>
        <w:contextualSpacing/>
        <w:jc w:val="center"/>
        <w:rPr>
          <w:rFonts w:ascii="Palatino Linotype" w:hAnsi="Palatino Linotype"/>
          <w:b/>
        </w:rPr>
      </w:pPr>
    </w:p>
    <w:p w14:paraId="6DDEC4B7" w14:textId="77777777" w:rsidR="000533F5" w:rsidRPr="005239A8" w:rsidRDefault="000533F5" w:rsidP="000533F5">
      <w:pPr>
        <w:spacing w:line="276" w:lineRule="auto"/>
        <w:contextualSpacing/>
        <w:jc w:val="center"/>
        <w:rPr>
          <w:rFonts w:ascii="Palatino Linotype" w:hAnsi="Palatino Linotype"/>
          <w:b/>
        </w:rPr>
      </w:pPr>
    </w:p>
    <w:p w14:paraId="162D9A9E" w14:textId="77777777" w:rsidR="000533F5" w:rsidRPr="005239A8" w:rsidRDefault="000533F5" w:rsidP="000533F5">
      <w:pPr>
        <w:spacing w:line="276" w:lineRule="auto"/>
        <w:contextualSpacing/>
        <w:jc w:val="center"/>
        <w:rPr>
          <w:rFonts w:ascii="Palatino Linotype" w:hAnsi="Palatino Linotype"/>
          <w:b/>
        </w:rPr>
      </w:pPr>
      <w:r w:rsidRPr="005239A8">
        <w:rPr>
          <w:rFonts w:ascii="Palatino Linotype" w:hAnsi="Palatino Linotype"/>
          <w:b/>
        </w:rPr>
        <w:t>Zulema Martínez Sánchez</w:t>
      </w:r>
    </w:p>
    <w:p w14:paraId="6E9155DE" w14:textId="77777777" w:rsidR="000533F5" w:rsidRPr="005239A8" w:rsidRDefault="000533F5" w:rsidP="000533F5">
      <w:pPr>
        <w:spacing w:line="276" w:lineRule="auto"/>
        <w:contextualSpacing/>
        <w:jc w:val="center"/>
        <w:rPr>
          <w:rFonts w:ascii="Palatino Linotype" w:hAnsi="Palatino Linotype"/>
          <w:b/>
        </w:rPr>
      </w:pPr>
      <w:r w:rsidRPr="005239A8">
        <w:rPr>
          <w:rFonts w:ascii="Palatino Linotype" w:hAnsi="Palatino Linotype"/>
          <w:b/>
        </w:rPr>
        <w:t>Comisionada</w:t>
      </w:r>
      <w:r>
        <w:rPr>
          <w:rFonts w:ascii="Palatino Linotype" w:hAnsi="Palatino Linotype"/>
          <w:b/>
        </w:rPr>
        <w:t xml:space="preserve"> Presidenta</w:t>
      </w:r>
    </w:p>
    <w:p w14:paraId="603E8A86" w14:textId="77777777" w:rsidR="000533F5" w:rsidRDefault="000533F5" w:rsidP="000533F5">
      <w:pPr>
        <w:spacing w:line="276" w:lineRule="auto"/>
        <w:contextualSpacing/>
        <w:jc w:val="both"/>
        <w:rPr>
          <w:rFonts w:ascii="Palatino Linotype" w:hAnsi="Palatino Linotype"/>
        </w:rPr>
      </w:pPr>
    </w:p>
    <w:p w14:paraId="5A5521D3" w14:textId="77777777" w:rsidR="000533F5" w:rsidRDefault="000533F5" w:rsidP="000533F5">
      <w:pPr>
        <w:spacing w:line="276" w:lineRule="auto"/>
        <w:contextualSpacing/>
        <w:jc w:val="both"/>
        <w:rPr>
          <w:rFonts w:ascii="Palatino Linotype" w:hAnsi="Palatino Linotype"/>
        </w:rPr>
      </w:pPr>
    </w:p>
    <w:p w14:paraId="0EFF921E" w14:textId="77777777" w:rsidR="000533F5" w:rsidRDefault="000533F5" w:rsidP="000533F5">
      <w:pPr>
        <w:spacing w:line="276" w:lineRule="auto"/>
        <w:contextualSpacing/>
        <w:jc w:val="both"/>
        <w:rPr>
          <w:rFonts w:ascii="Palatino Linotype" w:hAnsi="Palatino Linotype"/>
        </w:rPr>
      </w:pPr>
    </w:p>
    <w:p w14:paraId="7D95430A" w14:textId="77777777" w:rsidR="000533F5" w:rsidRDefault="000533F5" w:rsidP="000533F5">
      <w:pPr>
        <w:spacing w:line="276" w:lineRule="auto"/>
        <w:contextualSpacing/>
        <w:jc w:val="both"/>
        <w:rPr>
          <w:rFonts w:ascii="Palatino Linotype" w:hAnsi="Palatino Linotype"/>
        </w:rPr>
      </w:pPr>
    </w:p>
    <w:p w14:paraId="6239D509" w14:textId="77777777" w:rsidR="000533F5" w:rsidRDefault="000533F5" w:rsidP="000533F5">
      <w:pPr>
        <w:spacing w:line="276" w:lineRule="auto"/>
        <w:contextualSpacing/>
        <w:jc w:val="both"/>
        <w:rPr>
          <w:rFonts w:ascii="Palatino Linotype" w:hAnsi="Palatino Linotype"/>
        </w:rPr>
      </w:pPr>
    </w:p>
    <w:p w14:paraId="5FAEA497" w14:textId="77777777" w:rsidR="000533F5" w:rsidRDefault="000533F5" w:rsidP="000533F5">
      <w:pPr>
        <w:spacing w:line="276" w:lineRule="auto"/>
        <w:contextualSpacing/>
        <w:jc w:val="both"/>
        <w:rPr>
          <w:rFonts w:ascii="Palatino Linotype" w:hAnsi="Palatino Linotype"/>
        </w:rPr>
      </w:pPr>
    </w:p>
    <w:p w14:paraId="5F2B92BC" w14:textId="77777777" w:rsidR="000533F5" w:rsidRDefault="000533F5" w:rsidP="000533F5">
      <w:pPr>
        <w:spacing w:line="276" w:lineRule="auto"/>
        <w:contextualSpacing/>
        <w:jc w:val="both"/>
        <w:rPr>
          <w:rFonts w:ascii="Palatino Linotype" w:hAnsi="Palatino Linotype"/>
        </w:rPr>
      </w:pPr>
    </w:p>
    <w:p w14:paraId="25A92258" w14:textId="77777777" w:rsidR="000533F5" w:rsidRDefault="000533F5" w:rsidP="000533F5">
      <w:pPr>
        <w:spacing w:line="276" w:lineRule="auto"/>
        <w:contextualSpacing/>
        <w:jc w:val="both"/>
        <w:rPr>
          <w:rFonts w:ascii="Palatino Linotype" w:hAnsi="Palatino Linotype"/>
        </w:rPr>
      </w:pPr>
    </w:p>
    <w:p w14:paraId="649760F5" w14:textId="77777777" w:rsidR="000533F5" w:rsidRPr="005239A8" w:rsidRDefault="000533F5" w:rsidP="000533F5">
      <w:pPr>
        <w:spacing w:line="276" w:lineRule="auto"/>
        <w:contextualSpacing/>
        <w:jc w:val="both"/>
        <w:rPr>
          <w:rFonts w:ascii="Palatino Linotype" w:hAnsi="Palatino Linotype"/>
        </w:rPr>
      </w:pPr>
    </w:p>
    <w:p w14:paraId="13E4327C" w14:textId="341EBFFE" w:rsidR="00C80F8C" w:rsidRPr="000533F5" w:rsidRDefault="0038507F" w:rsidP="000533F5">
      <w:pPr>
        <w:spacing w:line="276" w:lineRule="auto"/>
        <w:contextualSpacing/>
        <w:jc w:val="both"/>
        <w:rPr>
          <w:rFonts w:ascii="Palatino Linotype" w:hAnsi="Palatino Linotype"/>
          <w:sz w:val="20"/>
        </w:rPr>
      </w:pPr>
      <w:r>
        <w:rPr>
          <w:rFonts w:ascii="Palatino Linotype" w:hAnsi="Palatino Linotype"/>
          <w:sz w:val="20"/>
        </w:rPr>
        <w:t xml:space="preserve">ZMS/OSAM/JCMA </w:t>
      </w:r>
    </w:p>
    <w:sectPr w:rsidR="00C80F8C" w:rsidRPr="000533F5" w:rsidSect="0036683A">
      <w:headerReference w:type="default" r:id="rId7"/>
      <w:footerReference w:type="default" r:id="rId8"/>
      <w:pgSz w:w="12240" w:h="15840"/>
      <w:pgMar w:top="1701" w:right="1134"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6B26A" w14:textId="77777777" w:rsidR="005C3FC5" w:rsidRDefault="005C3FC5" w:rsidP="00C80F8C">
      <w:r>
        <w:separator/>
      </w:r>
    </w:p>
  </w:endnote>
  <w:endnote w:type="continuationSeparator" w:id="0">
    <w:p w14:paraId="041B6CD8" w14:textId="77777777" w:rsidR="005C3FC5" w:rsidRDefault="005C3F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083F98DE" w14:textId="77777777" w:rsidR="008C3C34" w:rsidRDefault="008C3C34"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F0A1" w14:textId="77777777" w:rsidR="005C3FC5" w:rsidRDefault="005C3FC5" w:rsidP="00C80F8C">
      <w:r>
        <w:separator/>
      </w:r>
    </w:p>
  </w:footnote>
  <w:footnote w:type="continuationSeparator" w:id="0">
    <w:p w14:paraId="217750FD" w14:textId="77777777" w:rsidR="005C3FC5" w:rsidRDefault="005C3FC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4820F300" w:rsidR="00634485" w:rsidRPr="00A81140" w:rsidRDefault="000533F5" w:rsidP="00C80F8C">
    <w:pPr>
      <w:pStyle w:val="Encabezado"/>
      <w:tabs>
        <w:tab w:val="clear" w:pos="4252"/>
        <w:tab w:val="clear" w:pos="8504"/>
        <w:tab w:val="left" w:pos="2326"/>
      </w:tabs>
      <w:rPr>
        <w:rFonts w:ascii="Palatino Linotype" w:hAnsi="Palatino Linotype"/>
      </w:rPr>
    </w:pPr>
    <w:r>
      <w:rPr>
        <w:noProof/>
        <w:lang w:val="es-MX" w:eastAsia="es-MX"/>
      </w:rPr>
      <mc:AlternateContent>
        <mc:Choice Requires="wps">
          <w:drawing>
            <wp:anchor distT="0" distB="0" distL="114300" distR="114300" simplePos="0" relativeHeight="251659264" behindDoc="0" locked="0" layoutInCell="1" allowOverlap="1" wp14:anchorId="0FE5E794" wp14:editId="095D5B3A">
              <wp:simplePos x="0" y="0"/>
              <wp:positionH relativeFrom="column">
                <wp:posOffset>1647825</wp:posOffset>
              </wp:positionH>
              <wp:positionV relativeFrom="paragraph">
                <wp:posOffset>1905</wp:posOffset>
              </wp:positionV>
              <wp:extent cx="4914900" cy="3429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4914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F6900F" w14:textId="3095434A" w:rsidR="005B09E1" w:rsidRDefault="005B09E1" w:rsidP="005B09E1">
                          <w:pPr>
                            <w:jc w:val="right"/>
                            <w:rPr>
                              <w:sz w:val="20"/>
                              <w:szCs w:val="20"/>
                            </w:rPr>
                          </w:pPr>
                          <w:r w:rsidRPr="005B09E1">
                            <w:rPr>
                              <w:sz w:val="20"/>
                              <w:szCs w:val="20"/>
                            </w:rPr>
                            <w:t>“2018. Año del Bicentenario del Natalicio de Ignacio Ramírez Calzada, El Nigromante".</w:t>
                          </w:r>
                        </w:p>
                        <w:p w14:paraId="5B8014F5" w14:textId="77777777" w:rsidR="000533F5" w:rsidRDefault="000533F5" w:rsidP="005B09E1">
                          <w:pPr>
                            <w:jc w:val="right"/>
                            <w:rPr>
                              <w:sz w:val="20"/>
                              <w:szCs w:val="20"/>
                            </w:rPr>
                          </w:pPr>
                        </w:p>
                        <w:p w14:paraId="2BED5C9B" w14:textId="77777777" w:rsidR="000533F5" w:rsidRPr="00563D0F" w:rsidRDefault="000533F5" w:rsidP="000533F5">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14:paraId="4C066A91" w14:textId="77777777" w:rsidR="000533F5" w:rsidRDefault="000533F5" w:rsidP="000533F5">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14:paraId="5BB0E27A" w14:textId="2D3328B9" w:rsidR="000533F5" w:rsidRPr="005B09E1" w:rsidRDefault="000533F5" w:rsidP="000533F5">
                          <w:pPr>
                            <w:jc w:val="right"/>
                            <w:rPr>
                              <w:sz w:val="20"/>
                              <w:szCs w:val="20"/>
                            </w:rPr>
                          </w:pPr>
                          <w:r>
                            <w:rPr>
                              <w:rFonts w:ascii="Palatino Linotype" w:hAnsi="Palatino Linotype" w:cs="Arial"/>
                              <w:b/>
                              <w:sz w:val="20"/>
                              <w:szCs w:val="20"/>
                            </w:rPr>
                            <w:t>02873</w:t>
                          </w:r>
                          <w:r w:rsidRPr="00F40A43">
                            <w:rPr>
                              <w:rFonts w:ascii="Palatino Linotype" w:hAnsi="Palatino Linotype" w:cs="Arial"/>
                              <w:b/>
                              <w:sz w:val="20"/>
                              <w:szCs w:val="20"/>
                            </w:rPr>
                            <w:t>/INFOEM/IP/RR/2017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5E794" id="_x0000_t202" coordsize="21600,21600" o:spt="202" path="m,l,21600r21600,l21600,xe">
              <v:stroke joinstyle="miter"/>
              <v:path gradientshapeok="t" o:connecttype="rect"/>
            </v:shapetype>
            <v:shape id="Cuadro de texto 1" o:spid="_x0000_s1026" type="#_x0000_t202" style="position:absolute;margin-left:129.75pt;margin-top:.15pt;width:38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hXqwIAAKoFAAAOAAAAZHJzL2Uyb0RvYy54bWysVE1v2zAMvQ/YfxB0T+1k7keMOoWbIMOA&#10;oi2WDj0rspQYs0VNUmJnw/77KNlOs26XDrvYFPlIkY+krm/auiJ7YWwJKqPjs5gSoTgUpdpk9MvT&#10;cnRFiXVMFawCJTJ6EJbezN6/u250KiawhaoQhmAQZdNGZ3TrnE6jyPKtqJk9Ay0UGiWYmjk8mk1U&#10;GNZg9LqKJnF8ETVgCm2AC2tRu+iMdBbiSym4e5DSCkeqjGJuLnxN+K79N5pds3RjmN6WvE+D/UMW&#10;NSsVXnoMtWCOkZ0p/whVl9yABenOONQRSFlyEWrAasbxq2pWW6ZFqAXJsfpIk/1/Yfn9/tGQssDe&#10;UaJYjS2a71hhgBSCONE6IGNPUqNtitiVRrRrb6H1Dr3eotLX3kpT+z9WRdCOdB+OFGMkwlGZTMfJ&#10;NEYTR9uHZOJlDBO9eGtj3UcBNfFCRg22MDDL9nfWddAB4i9TsCyrCvUsrdRvCozZaUSYg86bpZgJ&#10;ih7pcwo9+jE/v5zkl+fT0UV+Ph4l4/hqlOfxZLRY5nEeJ8v5NLn92ec5+Eeekq70ILlDJbosPguJ&#10;jAYGvCLMsphXhuwZTiHjXCgXyAsZItqjJFbxFsceH+oI9b3FuWNkuBmUOzrXpQIT+H6VdvF1SFl2&#10;eGzaSd1edO267UdiDcUBJ8VAt3BW82WJ7bxj1j0ygxuGE4CvhnvAj6ygySj0EiVbMN//pvd4HHy0&#10;UtLgxmbUftsxIyipPilcCZysxK94OCTYUTyYU8v61KJ29RywHTj2mF0QPd5VgygN1M/4uOT+VjQx&#10;xfHujLpBnLvuHcHHiYs8DyBcas3cnVpp7kP77vhhfWqfmdH9RPutuodht1n6arA7rPdUkO8cyDJM&#10;vSe4Y7UnHh+EsDf94+VfnNNzQL08sbNfAAAA//8DAFBLAwQUAAYACAAAACEA4+9BY9sAAAAIAQAA&#10;DwAAAGRycy9kb3ducmV2LnhtbEyPzU7DMBCE70i8g7VI3OiapkE0ZFMhEFcQ5Ufi5sbbJCJeR7Hb&#10;hLfHPcFxNKOZb8rN7Hp15DF0XgiuFxoUS+1tJw3B+9vT1S2oEI1Y03thgh8OsKnOz0pTWD/JKx+3&#10;sVGpREJhCNoYhwIx1C07ExZ+YEne3o/OxCTHBu1oplTuelxqfYPOdJIWWjPwQ8v19/bgCD6e91+f&#10;K/3SPLp8mPysUdwaiS4v5vs7UJHn+BeGE35Chyox7fxBbFA9wTJf5ylKkIE62TrLkt4R5KsMsCrx&#10;/4HqFwAA//8DAFBLAQItABQABgAIAAAAIQC2gziS/gAAAOEBAAATAAAAAAAAAAAAAAAAAAAAAABb&#10;Q29udGVudF9UeXBlc10ueG1sUEsBAi0AFAAGAAgAAAAhADj9If/WAAAAlAEAAAsAAAAAAAAAAAAA&#10;AAAALwEAAF9yZWxzLy5yZWxzUEsBAi0AFAAGAAgAAAAhAE2BSFerAgAAqgUAAA4AAAAAAAAAAAAA&#10;AAAALgIAAGRycy9lMm9Eb2MueG1sUEsBAi0AFAAGAAgAAAAhAOPvQWPbAAAACAEAAA8AAAAAAAAA&#10;AAAAAAAABQUAAGRycy9kb3ducmV2LnhtbFBLBQYAAAAABAAEAPMAAAANBgAAAAA=&#10;" filled="f" stroked="f">
              <v:textbox>
                <w:txbxContent>
                  <w:p w14:paraId="12F6900F" w14:textId="3095434A" w:rsidR="005B09E1" w:rsidRDefault="005B09E1" w:rsidP="005B09E1">
                    <w:pPr>
                      <w:jc w:val="right"/>
                      <w:rPr>
                        <w:sz w:val="20"/>
                        <w:szCs w:val="20"/>
                      </w:rPr>
                    </w:pPr>
                    <w:r w:rsidRPr="005B09E1">
                      <w:rPr>
                        <w:sz w:val="20"/>
                        <w:szCs w:val="20"/>
                      </w:rPr>
                      <w:t>“2018. Año del Bicentenario del Natalicio de Ignacio Ramírez Calzada, El Nigromante".</w:t>
                    </w:r>
                  </w:p>
                  <w:p w14:paraId="5B8014F5" w14:textId="77777777" w:rsidR="000533F5" w:rsidRDefault="000533F5" w:rsidP="005B09E1">
                    <w:pPr>
                      <w:jc w:val="right"/>
                      <w:rPr>
                        <w:sz w:val="20"/>
                        <w:szCs w:val="20"/>
                      </w:rPr>
                    </w:pPr>
                  </w:p>
                  <w:p w14:paraId="2BED5C9B" w14:textId="77777777" w:rsidR="000533F5" w:rsidRPr="00563D0F" w:rsidRDefault="000533F5" w:rsidP="000533F5">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14:paraId="4C066A91" w14:textId="77777777" w:rsidR="000533F5" w:rsidRDefault="000533F5" w:rsidP="000533F5">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14:paraId="5BB0E27A" w14:textId="2D3328B9" w:rsidR="000533F5" w:rsidRPr="005B09E1" w:rsidRDefault="000533F5" w:rsidP="000533F5">
                    <w:pPr>
                      <w:jc w:val="right"/>
                      <w:rPr>
                        <w:sz w:val="20"/>
                        <w:szCs w:val="20"/>
                      </w:rPr>
                    </w:pPr>
                    <w:r>
                      <w:rPr>
                        <w:rFonts w:ascii="Palatino Linotype" w:hAnsi="Palatino Linotype" w:cs="Arial"/>
                        <w:b/>
                        <w:sz w:val="20"/>
                        <w:szCs w:val="20"/>
                      </w:rPr>
                      <w:t>02873</w:t>
                    </w:r>
                    <w:r w:rsidRPr="00F40A43">
                      <w:rPr>
                        <w:rFonts w:ascii="Palatino Linotype" w:hAnsi="Palatino Linotype" w:cs="Arial"/>
                        <w:b/>
                        <w:sz w:val="20"/>
                        <w:szCs w:val="20"/>
                      </w:rPr>
                      <w:t>/INFOEM/IP/RR/2017</w:t>
                    </w:r>
                  </w:p>
                </w:txbxContent>
              </v:textbox>
            </v:shape>
          </w:pict>
        </mc:Fallback>
      </mc:AlternateContent>
    </w:r>
    <w:r w:rsidR="005B09E1">
      <w:rPr>
        <w:rFonts w:ascii="Palatino Linotype" w:hAnsi="Palatino Linotype"/>
        <w:noProof/>
        <w:lang w:val="es-MX" w:eastAsia="es-MX"/>
      </w:rPr>
      <w:drawing>
        <wp:anchor distT="0" distB="0" distL="114300" distR="114300" simplePos="0" relativeHeight="251660288" behindDoc="1" locked="0" layoutInCell="1" allowOverlap="1" wp14:anchorId="490F349C" wp14:editId="7F427BEA">
          <wp:simplePos x="0" y="0"/>
          <wp:positionH relativeFrom="column">
            <wp:posOffset>-914400</wp:posOffset>
          </wp:positionH>
          <wp:positionV relativeFrom="paragraph">
            <wp:posOffset>-431165</wp:posOffset>
          </wp:positionV>
          <wp:extent cx="7886700" cy="9977120"/>
          <wp:effectExtent l="0" t="0" r="1270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 Hoja membretada actualizada-01.jpg"/>
                  <pic:cNvPicPr/>
                </pic:nvPicPr>
                <pic:blipFill>
                  <a:blip r:embed="rId1">
                    <a:extLst>
                      <a:ext uri="{28A0092B-C50C-407E-A947-70E740481C1C}">
                        <a14:useLocalDpi xmlns:a14="http://schemas.microsoft.com/office/drawing/2010/main" val="0"/>
                      </a:ext>
                    </a:extLst>
                  </a:blip>
                  <a:stretch>
                    <a:fillRect/>
                  </a:stretch>
                </pic:blipFill>
                <pic:spPr>
                  <a:xfrm>
                    <a:off x="0" y="0"/>
                    <a:ext cx="7887601" cy="99782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796C3B04" w:rsidR="00634485" w:rsidRDefault="006F30F8" w:rsidP="006F30F8">
    <w:pPr>
      <w:pStyle w:val="Encabezado"/>
      <w:tabs>
        <w:tab w:val="clear" w:pos="4252"/>
        <w:tab w:val="clear" w:pos="8504"/>
        <w:tab w:val="left" w:pos="2326"/>
      </w:tabs>
    </w:pPr>
    <w:r>
      <w:tab/>
    </w:r>
  </w:p>
  <w:p w14:paraId="01D08E3E" w14:textId="7CA7B177" w:rsidR="006F30F8" w:rsidRDefault="00E6450B" w:rsidP="00E6450B">
    <w:pPr>
      <w:pStyle w:val="Encabezado"/>
      <w:tabs>
        <w:tab w:val="clear" w:pos="4252"/>
        <w:tab w:val="clear" w:pos="8504"/>
        <w:tab w:val="left" w:pos="8805"/>
      </w:tabs>
    </w:pPr>
    <w:r>
      <w:tab/>
    </w:r>
  </w:p>
  <w:p w14:paraId="5D817EDC" w14:textId="77777777" w:rsidR="000533F5" w:rsidRPr="00563D0F" w:rsidRDefault="000533F5" w:rsidP="000533F5">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14:paraId="4BECA001" w14:textId="77777777" w:rsidR="000533F5" w:rsidRDefault="000533F5" w:rsidP="000533F5">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14:paraId="529674EB" w14:textId="7F92CF11" w:rsidR="00634485" w:rsidRDefault="00E6450B" w:rsidP="000533F5">
    <w:pPr>
      <w:pStyle w:val="Encabezado"/>
      <w:tabs>
        <w:tab w:val="clear" w:pos="4252"/>
        <w:tab w:val="clear" w:pos="8504"/>
        <w:tab w:val="left" w:pos="2326"/>
      </w:tabs>
      <w:jc w:val="right"/>
    </w:pPr>
    <w:r>
      <w:rPr>
        <w:rFonts w:ascii="Palatino Linotype" w:hAnsi="Palatino Linotype" w:cs="Arial"/>
        <w:b/>
        <w:sz w:val="20"/>
        <w:szCs w:val="20"/>
      </w:rPr>
      <w:t>02053/INFOEM/IP/RR/2018</w:t>
    </w:r>
  </w:p>
  <w:p w14:paraId="71104997" w14:textId="77777777" w:rsidR="00634485" w:rsidRDefault="00634485" w:rsidP="00C80F8C">
    <w:pPr>
      <w:pStyle w:val="Encabezado"/>
      <w:tabs>
        <w:tab w:val="clear" w:pos="4252"/>
        <w:tab w:val="clear" w:pos="8504"/>
        <w:tab w:val="left" w:pos="23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4014E"/>
    <w:rsid w:val="00050260"/>
    <w:rsid w:val="000533F5"/>
    <w:rsid w:val="0008542A"/>
    <w:rsid w:val="000B3FFD"/>
    <w:rsid w:val="000C4453"/>
    <w:rsid w:val="001A366F"/>
    <w:rsid w:val="0036683A"/>
    <w:rsid w:val="0038507F"/>
    <w:rsid w:val="004D0A26"/>
    <w:rsid w:val="00575235"/>
    <w:rsid w:val="00577EAC"/>
    <w:rsid w:val="005B09E1"/>
    <w:rsid w:val="005C3FC5"/>
    <w:rsid w:val="005D1946"/>
    <w:rsid w:val="00634485"/>
    <w:rsid w:val="006E6389"/>
    <w:rsid w:val="006F30F8"/>
    <w:rsid w:val="00736C06"/>
    <w:rsid w:val="00892AFC"/>
    <w:rsid w:val="008C3C34"/>
    <w:rsid w:val="008D1526"/>
    <w:rsid w:val="00975EB9"/>
    <w:rsid w:val="00A81140"/>
    <w:rsid w:val="00B51BE2"/>
    <w:rsid w:val="00B53290"/>
    <w:rsid w:val="00BC7994"/>
    <w:rsid w:val="00BD7483"/>
    <w:rsid w:val="00C80F8C"/>
    <w:rsid w:val="00D05550"/>
    <w:rsid w:val="00E6450B"/>
    <w:rsid w:val="00E66145"/>
    <w:rsid w:val="00FB21C5"/>
    <w:rsid w:val="00FB48D6"/>
    <w:rsid w:val="00FD05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7782EFBE-385B-434B-A44F-5AF20633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8FB1-3C04-470F-8207-317A470F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2018-08-06T22:43:00Z</cp:lastPrinted>
  <dcterms:created xsi:type="dcterms:W3CDTF">2018-08-06T22:56:00Z</dcterms:created>
  <dcterms:modified xsi:type="dcterms:W3CDTF">2018-08-06T22:56:00Z</dcterms:modified>
</cp:coreProperties>
</file>